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sz w:val="32"/>
          <w:szCs w:val="32"/>
        </w:rPr>
      </w:pPr>
      <w:r>
        <w:rPr>
          <w:rFonts w:cs="Courier New" w:ascii="Calibri" w:hAnsi="Calibri"/>
          <w:b/>
          <w:bCs/>
          <w:sz w:val="32"/>
          <w:szCs w:val="32"/>
        </w:rPr>
        <w:t>„</w:t>
      </w:r>
      <w:r>
        <w:rPr>
          <w:rFonts w:cs="Courier New" w:ascii="Calibri" w:hAnsi="Calibri"/>
          <w:b/>
          <w:bCs/>
          <w:sz w:val="32"/>
          <w:szCs w:val="32"/>
        </w:rPr>
        <w:t>Část 2 – Rekonstrukce pracoviště DSA v budově MěÚ Český Krumlov - dodávka kancelářského nábytku</w:t>
      </w:r>
      <w:r>
        <w:rPr>
          <w:rFonts w:eastAsia="Times New Roman" w:cs="Courier New" w:ascii="Calibri" w:hAnsi="Calibri"/>
          <w:b/>
          <w:bCs/>
          <w:sz w:val="32"/>
          <w:szCs w:val="32"/>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311995385"/>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814629398"/>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360817672"/>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543462506"/>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566650073"/>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460</Words>
  <Characters>2967</Characters>
  <CharactersWithSpaces>3424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2023-09-13T12:39:18Z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